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87" w:lineRule="auto"/>
        <w:ind w:firstLine="3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3"/>
          <w:sz w:val="32"/>
          <w:szCs w:val="32"/>
        </w:rPr>
        <w:t>附件</w:t>
      </w:r>
      <w:r>
        <w:rPr>
          <w:rFonts w:ascii="黑体" w:hAnsi="黑体" w:eastAsia="黑体" w:cs="黑体"/>
          <w:spacing w:val="-62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3"/>
          <w:sz w:val="32"/>
          <w:szCs w:val="32"/>
        </w:rPr>
        <w:t>1</w:t>
      </w:r>
    </w:p>
    <w:p>
      <w:pPr>
        <w:spacing w:line="264" w:lineRule="auto"/>
        <w:rPr>
          <w:rFonts w:ascii="宋体"/>
          <w:sz w:val="21"/>
        </w:rPr>
      </w:pPr>
    </w:p>
    <w:p>
      <w:pPr>
        <w:spacing w:before="143" w:line="184" w:lineRule="auto"/>
        <w:ind w:firstLine="1352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-8"/>
          <w:sz w:val="44"/>
          <w:szCs w:val="44"/>
        </w:rPr>
        <w:t>项目考评符合性抽查和修正规则</w:t>
      </w:r>
      <w:bookmarkEnd w:id="0"/>
    </w:p>
    <w:p>
      <w:pPr>
        <w:spacing w:line="288" w:lineRule="auto"/>
        <w:rPr>
          <w:rFonts w:ascii="宋体"/>
          <w:sz w:val="21"/>
        </w:rPr>
      </w:pPr>
    </w:p>
    <w:p>
      <w:pPr>
        <w:spacing w:line="288" w:lineRule="auto"/>
        <w:rPr>
          <w:rFonts w:ascii="宋体"/>
          <w:sz w:val="21"/>
        </w:rPr>
      </w:pPr>
    </w:p>
    <w:p>
      <w:pPr>
        <w:spacing w:line="289" w:lineRule="auto"/>
        <w:rPr>
          <w:rFonts w:ascii="宋体"/>
          <w:sz w:val="21"/>
        </w:rPr>
      </w:pPr>
    </w:p>
    <w:p>
      <w:pPr>
        <w:spacing w:before="104" w:line="188" w:lineRule="auto"/>
        <w:ind w:firstLine="66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3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spacing w:val="-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．项目考评符合性抽查重点为现场考评异常的地区和项目。</w:t>
      </w:r>
    </w:p>
    <w:p>
      <w:pPr>
        <w:spacing w:before="189" w:line="336" w:lineRule="auto"/>
        <w:ind w:left="25" w:right="2" w:firstLine="62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异常地区抽查项目数量原则上为该地区考评项目总数的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1%</w:t>
      </w:r>
      <w:r>
        <w:rPr>
          <w:rFonts w:ascii="仿宋" w:hAnsi="仿宋" w:eastAsia="仿宋" w:cs="仿宋"/>
          <w:spacing w:val="-12"/>
          <w:sz w:val="32"/>
          <w:szCs w:val="32"/>
        </w:rPr>
        <w:t>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且市州本级不少于</w:t>
      </w:r>
      <w:r>
        <w:rPr>
          <w:rFonts w:ascii="仿宋" w:hAnsi="仿宋" w:eastAsia="仿宋" w:cs="仿宋"/>
          <w:spacing w:val="-77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4</w:t>
      </w:r>
      <w:r>
        <w:rPr>
          <w:rFonts w:ascii="Times New Roman" w:hAnsi="Times New Roman" w:eastAsia="Times New Roman" w:cs="Times New Roman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个，县区不少于</w:t>
      </w:r>
      <w:r>
        <w:rPr>
          <w:rFonts w:ascii="仿宋" w:hAnsi="仿宋" w:eastAsia="仿宋" w:cs="仿宋"/>
          <w:spacing w:val="-75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个。</w:t>
      </w:r>
    </w:p>
    <w:p>
      <w:pPr>
        <w:spacing w:before="44" w:line="283" w:lineRule="auto"/>
        <w:ind w:left="33" w:right="90" w:firstLine="59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-2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．现场考评符合性抽查得分与现场考评原得分相差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分及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以内的，该项目符合性抽查结果为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“</w:t>
      </w:r>
      <w:r>
        <w:rPr>
          <w:rFonts w:ascii="仿宋" w:hAnsi="仿宋" w:eastAsia="仿宋" w:cs="仿宋"/>
          <w:spacing w:val="-14"/>
          <w:sz w:val="32"/>
          <w:szCs w:val="32"/>
        </w:rPr>
        <w:t>符合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”</w:t>
      </w:r>
      <w:r>
        <w:rPr>
          <w:rFonts w:ascii="仿宋" w:hAnsi="仿宋" w:eastAsia="仿宋" w:cs="仿宋"/>
          <w:spacing w:val="-14"/>
          <w:sz w:val="32"/>
          <w:szCs w:val="32"/>
        </w:rPr>
        <w:t>，得分相差高于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分的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为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“</w:t>
      </w:r>
      <w:r>
        <w:rPr>
          <w:rFonts w:ascii="仿宋" w:hAnsi="仿宋" w:eastAsia="仿宋" w:cs="仿宋"/>
          <w:spacing w:val="-9"/>
          <w:sz w:val="32"/>
          <w:szCs w:val="32"/>
        </w:rPr>
        <w:t>不符合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”</w:t>
      </w:r>
      <w:r>
        <w:rPr>
          <w:rFonts w:ascii="仿宋" w:hAnsi="仿宋" w:eastAsia="仿宋" w:cs="仿宋"/>
          <w:spacing w:val="-9"/>
          <w:sz w:val="32"/>
          <w:szCs w:val="32"/>
        </w:rPr>
        <w:t>。</w:t>
      </w:r>
    </w:p>
    <w:p>
      <w:pPr>
        <w:spacing w:before="247" w:line="331" w:lineRule="auto"/>
        <w:ind w:left="25" w:right="92" w:firstLine="61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6"/>
          <w:w w:val="99"/>
          <w:sz w:val="32"/>
          <w:szCs w:val="32"/>
        </w:rPr>
        <w:t>3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．考评异常的地区（按考评主体划分）</w:t>
      </w:r>
      <w:r>
        <w:rPr>
          <w:rFonts w:ascii="仿宋" w:hAnsi="仿宋" w:eastAsia="仿宋" w:cs="仿宋"/>
          <w:spacing w:val="-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和项目主要按下列原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则确定（实际水平和抽查符合率较高的，可不列入</w:t>
      </w:r>
      <w:r>
        <w:rPr>
          <w:rFonts w:ascii="仿宋" w:hAnsi="仿宋" w:eastAsia="仿宋" w:cs="仿宋"/>
          <w:spacing w:val="-94"/>
          <w:sz w:val="32"/>
          <w:szCs w:val="32"/>
        </w:rPr>
        <w:t>）</w:t>
      </w:r>
      <w:r>
        <w:rPr>
          <w:rFonts w:ascii="仿宋" w:hAnsi="仿宋" w:eastAsia="仿宋" w:cs="仿宋"/>
          <w:spacing w:val="-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4"/>
          <w:sz w:val="32"/>
          <w:szCs w:val="32"/>
        </w:rPr>
        <w:t>：</w:t>
      </w:r>
    </w:p>
    <w:p>
      <w:pPr>
        <w:spacing w:before="3" w:line="331" w:lineRule="auto"/>
        <w:ind w:left="40" w:right="94" w:firstLine="60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1</w:t>
      </w:r>
      <w:r>
        <w:rPr>
          <w:rFonts w:ascii="仿宋" w:hAnsi="仿宋" w:eastAsia="仿宋" w:cs="仿宋"/>
          <w:spacing w:val="-4"/>
          <w:sz w:val="32"/>
          <w:szCs w:val="32"/>
        </w:rPr>
        <w:t>）现场考评平均得分、现场考评优良率全省排名前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的市州和排名前</w:t>
      </w:r>
      <w:r>
        <w:rPr>
          <w:rFonts w:ascii="仿宋" w:hAnsi="仿宋" w:eastAsia="仿宋" w:cs="仿宋"/>
          <w:spacing w:val="-7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5</w:t>
      </w:r>
      <w:r>
        <w:rPr>
          <w:rFonts w:ascii="Times New Roman" w:hAnsi="Times New Roman" w:eastAsia="Times New Roman" w:cs="Times New Roman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名的县市区。</w:t>
      </w:r>
    </w:p>
    <w:p>
      <w:pPr>
        <w:spacing w:before="1" w:line="201" w:lineRule="auto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2</w:t>
      </w:r>
      <w:r>
        <w:rPr>
          <w:rFonts w:ascii="仿宋" w:hAnsi="仿宋" w:eastAsia="仿宋" w:cs="仿宋"/>
          <w:spacing w:val="-9"/>
          <w:sz w:val="32"/>
          <w:szCs w:val="32"/>
        </w:rPr>
        <w:t>）项目考评多季度无不合格项目的地区。</w:t>
      </w:r>
    </w:p>
    <w:p>
      <w:pPr>
        <w:spacing w:before="224" w:line="188" w:lineRule="auto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3</w:t>
      </w:r>
      <w:r>
        <w:rPr>
          <w:rFonts w:ascii="仿宋" w:hAnsi="仿宋" w:eastAsia="仿宋" w:cs="仿宋"/>
          <w:spacing w:val="-9"/>
          <w:sz w:val="32"/>
          <w:szCs w:val="32"/>
        </w:rPr>
        <w:t>）发生建筑施工生产安全事故较多的地区。</w:t>
      </w:r>
    </w:p>
    <w:p>
      <w:pPr>
        <w:spacing w:before="247" w:line="331" w:lineRule="auto"/>
        <w:ind w:left="77" w:right="92" w:firstLine="56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4</w:t>
      </w:r>
      <w:r>
        <w:rPr>
          <w:rFonts w:ascii="仿宋" w:hAnsi="仿宋" w:eastAsia="仿宋" w:cs="仿宋"/>
          <w:spacing w:val="-10"/>
          <w:sz w:val="32"/>
          <w:szCs w:val="32"/>
        </w:rPr>
        <w:t>）现场考评得分当季全省排名前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18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名或得分异常高的项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7"/>
          <w:sz w:val="32"/>
          <w:szCs w:val="32"/>
        </w:rPr>
        <w:t>目。</w:t>
      </w:r>
    </w:p>
    <w:p>
      <w:pPr>
        <w:spacing w:before="2" w:line="331" w:lineRule="auto"/>
        <w:ind w:left="24" w:right="90" w:firstLine="6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5</w:t>
      </w:r>
      <w:r>
        <w:rPr>
          <w:rFonts w:ascii="仿宋" w:hAnsi="仿宋" w:eastAsia="仿宋" w:cs="仿宋"/>
          <w:spacing w:val="-14"/>
          <w:sz w:val="32"/>
          <w:szCs w:val="32"/>
        </w:rPr>
        <w:t>）平台归集结果、考评符合性抽查及质量安全督查等发现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其它异常情形，或有投诉举报等有必要进行抽查修正的地区和项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目。</w:t>
      </w:r>
    </w:p>
    <w:p>
      <w:pPr>
        <w:spacing w:before="2" w:line="201" w:lineRule="auto"/>
        <w:ind w:firstLine="629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4</w:t>
      </w:r>
      <w:r>
        <w:rPr>
          <w:rFonts w:ascii="Times New Roman" w:hAnsi="Times New Roman" w:eastAsia="Times New Roman" w:cs="Times New Roman"/>
          <w:spacing w:val="-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．考评异常地区和项目按下列原则修正：</w:t>
      </w:r>
    </w:p>
    <w:p>
      <w:pPr>
        <w:spacing w:before="18" w:line="260" w:lineRule="auto"/>
        <w:ind w:left="22" w:right="115" w:firstLine="62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>1</w:t>
      </w:r>
      <w:r>
        <w:rPr>
          <w:rFonts w:ascii="仿宋" w:hAnsi="仿宋" w:eastAsia="仿宋" w:cs="仿宋"/>
          <w:spacing w:val="-2"/>
          <w:sz w:val="32"/>
          <w:szCs w:val="32"/>
        </w:rPr>
        <w:t>）抽查项目现场考评比对抽查考评结果为项目最终现场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考评结果。</w:t>
      </w:r>
    </w:p>
    <w:p>
      <w:pPr>
        <w:spacing w:before="246" w:line="331" w:lineRule="auto"/>
        <w:ind w:left="22" w:right="20" w:firstLine="62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2</w:t>
      </w:r>
      <w:r>
        <w:rPr>
          <w:rFonts w:ascii="仿宋" w:hAnsi="仿宋" w:eastAsia="仿宋" w:cs="仿宋"/>
          <w:spacing w:val="-14"/>
          <w:sz w:val="32"/>
          <w:szCs w:val="32"/>
        </w:rPr>
        <w:t>）考评异常地区未抽查项目的现场考评得分，按原考评主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体的现场考评得分乘以修正系数进行确定，考评等级作相应调整，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但因乘以修正系数导致现场考评分数低于</w:t>
      </w:r>
      <w:r>
        <w:rPr>
          <w:rFonts w:ascii="仿宋" w:hAnsi="仿宋" w:eastAsia="仿宋" w:cs="仿宋"/>
          <w:spacing w:val="-75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70</w:t>
      </w:r>
      <w:r>
        <w:rPr>
          <w:rFonts w:ascii="Times New Roman" w:hAnsi="Times New Roman" w:eastAsia="Times New Roman" w:cs="Times New Roman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分的，现场考评等级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仍按原等级认定。</w:t>
      </w:r>
    </w:p>
    <w:p>
      <w:pPr>
        <w:spacing w:before="2" w:line="331" w:lineRule="auto"/>
        <w:ind w:left="20" w:right="115" w:firstLine="6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修正系数根据当季监督抽查符合率（监督抽查符合率</w:t>
      </w: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=</w:t>
      </w:r>
      <w:r>
        <w:rPr>
          <w:rFonts w:ascii="仿宋" w:hAnsi="仿宋" w:eastAsia="仿宋" w:cs="仿宋"/>
          <w:spacing w:val="-3"/>
          <w:sz w:val="32"/>
          <w:szCs w:val="32"/>
        </w:rPr>
        <w:t>监督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抽查符合项目数与监督抽查项目总数之比）</w:t>
      </w:r>
      <w:r>
        <w:rPr>
          <w:rFonts w:ascii="仿宋" w:hAnsi="仿宋" w:eastAsia="仿宋" w:cs="仿宋"/>
          <w:spacing w:val="2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确定：</w:t>
      </w:r>
    </w:p>
    <w:tbl>
      <w:tblPr>
        <w:tblStyle w:val="4"/>
        <w:tblW w:w="4514" w:type="dxa"/>
        <w:tblInd w:w="6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4"/>
        <w:gridCol w:w="17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2724" w:type="dxa"/>
            <w:vAlign w:val="top"/>
          </w:tcPr>
          <w:p>
            <w:pPr>
              <w:spacing w:line="628" w:lineRule="exact"/>
              <w:ind w:firstLine="1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position w:val="22"/>
                <w:sz w:val="32"/>
                <w:szCs w:val="32"/>
              </w:rPr>
              <w:t>监督抽查符合率</w:t>
            </w:r>
          </w:p>
          <w:p>
            <w:pPr>
              <w:spacing w:line="222" w:lineRule="exac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position w:val="-4"/>
                <w:sz w:val="32"/>
                <w:szCs w:val="32"/>
              </w:rPr>
              <w:t>0</w:t>
            </w:r>
          </w:p>
        </w:tc>
        <w:tc>
          <w:tcPr>
            <w:tcW w:w="1790" w:type="dxa"/>
            <w:vAlign w:val="top"/>
          </w:tcPr>
          <w:p>
            <w:pPr>
              <w:spacing w:before="2" w:line="260" w:lineRule="auto"/>
              <w:ind w:left="547" w:firstLine="8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修正系数</w:t>
            </w:r>
            <w:r>
              <w:rPr>
                <w:rFonts w:ascii="仿宋" w:hAnsi="仿宋" w:eastAsia="仿宋" w:cs="仿宋"/>
                <w:spacing w:val="2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0.95</w:t>
            </w:r>
          </w:p>
        </w:tc>
      </w:tr>
    </w:tbl>
    <w:p>
      <w:pPr>
        <w:spacing w:before="237" w:line="430" w:lineRule="exact"/>
        <w:ind w:firstLine="661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position w:val="1"/>
          <w:sz w:val="32"/>
          <w:szCs w:val="32"/>
        </w:rPr>
        <w:t>100%</w:t>
      </w:r>
      <w:r>
        <w:rPr>
          <w:rFonts w:ascii="Times New Roman" w:hAnsi="Times New Roman" w:eastAsia="Times New Roman" w:cs="Times New Roman"/>
          <w:spacing w:val="1"/>
          <w:position w:val="1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Times New Roman" w:cs="Times New Roman"/>
          <w:spacing w:val="-10"/>
          <w:position w:val="1"/>
          <w:sz w:val="32"/>
          <w:szCs w:val="32"/>
        </w:rPr>
        <w:t>1</w:t>
      </w:r>
    </w:p>
    <w:p>
      <w:pPr>
        <w:spacing w:before="144" w:line="429" w:lineRule="exact"/>
        <w:ind w:firstLine="635"/>
        <w:rPr>
          <w:rFonts w:ascii="仿宋" w:hAnsi="仿宋" w:eastAsia="仿宋" w:cs="仿宋"/>
          <w:spacing w:val="-9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w w:val="99"/>
          <w:position w:val="1"/>
          <w:sz w:val="32"/>
          <w:szCs w:val="32"/>
        </w:rPr>
        <w:t>0-</w:t>
      </w:r>
      <w:r>
        <w:rPr>
          <w:rFonts w:ascii="Times New Roman" w:hAnsi="Times New Roman" w:eastAsia="Times New Roman" w:cs="Times New Roman"/>
          <w:spacing w:val="-8"/>
          <w:position w:val="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0"/>
          <w:w w:val="99"/>
          <w:position w:val="1"/>
          <w:sz w:val="32"/>
          <w:szCs w:val="32"/>
        </w:rPr>
        <w:t>100%</w:t>
      </w:r>
      <w:r>
        <w:rPr>
          <w:rFonts w:ascii="Times New Roman" w:hAnsi="Times New Roman" w:eastAsia="Times New Roman" w:cs="Times New Roman"/>
          <w:spacing w:val="-46"/>
          <w:position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w w:val="99"/>
          <w:position w:val="1"/>
          <w:sz w:val="32"/>
          <w:szCs w:val="32"/>
        </w:rPr>
        <w:t>，按线性内插法计算确定。</w:t>
      </w:r>
    </w:p>
    <w:p>
      <w:pPr>
        <w:spacing w:before="204" w:line="188" w:lineRule="auto"/>
        <w:ind w:firstLine="64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（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3</w:t>
      </w:r>
      <w:r>
        <w:rPr>
          <w:rFonts w:ascii="仿宋" w:hAnsi="仿宋" w:eastAsia="仿宋" w:cs="仿宋"/>
          <w:spacing w:val="-9"/>
          <w:sz w:val="32"/>
          <w:szCs w:val="32"/>
        </w:rPr>
        <w:t>）未监督抽查地区的项目现场考评得分不进行修正。</w:t>
      </w:r>
    </w:p>
    <w:p>
      <w:pPr>
        <w:spacing w:before="251" w:line="302" w:lineRule="auto"/>
        <w:ind w:left="20" w:right="20" w:firstLine="61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5</w:t>
      </w:r>
      <w:r>
        <w:rPr>
          <w:rFonts w:ascii="Times New Roman" w:hAnsi="Times New Roman" w:eastAsia="Times New Roman" w:cs="Times New Roman"/>
          <w:spacing w:val="-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．对全年季度比对抽查修正未涉及上述情形或监督抽查项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目数不足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1%</w:t>
      </w:r>
      <w:r>
        <w:rPr>
          <w:rFonts w:ascii="仿宋" w:hAnsi="仿宋" w:eastAsia="仿宋" w:cs="仿宋"/>
          <w:spacing w:val="-10"/>
          <w:sz w:val="32"/>
          <w:szCs w:val="32"/>
        </w:rPr>
        <w:t>或少于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10</w:t>
      </w:r>
      <w:r>
        <w:rPr>
          <w:rFonts w:ascii="Times New Roman" w:hAnsi="Times New Roman" w:eastAsia="Times New Roman" w:cs="Times New Roman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个（其中所辖县市区的项目不少于</w:t>
      </w:r>
      <w:r>
        <w:rPr>
          <w:rFonts w:ascii="仿宋" w:hAnsi="仿宋" w:eastAsia="仿宋" w:cs="仿宋"/>
          <w:spacing w:val="-72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50%</w:t>
      </w:r>
      <w:r>
        <w:rPr>
          <w:rFonts w:ascii="仿宋" w:hAnsi="仿宋" w:eastAsia="仿宋" w:cs="仿宋"/>
          <w:spacing w:val="-10"/>
          <w:sz w:val="32"/>
          <w:szCs w:val="32"/>
        </w:rPr>
        <w:t>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的市州，可结合质量安全季度督查或专项检查等工作进行项目考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评符合性比对抽查。省住房城乡建设厅质量安全督查抽查的项目，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计入监督抽查项目。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163D8B9569644E0A9F828E7CB7177B9A</vt:lpwstr>
  </property>
</Properties>
</file>