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187" w:lineRule="auto"/>
        <w:ind w:firstLine="3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3"/>
          <w:sz w:val="32"/>
          <w:szCs w:val="32"/>
        </w:rPr>
        <w:t>附件</w:t>
      </w:r>
      <w:r>
        <w:rPr>
          <w:rFonts w:ascii="黑体" w:hAnsi="黑体" w:eastAsia="黑体" w:cs="黑体"/>
          <w:spacing w:val="-81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3"/>
          <w:sz w:val="32"/>
          <w:szCs w:val="32"/>
        </w:rPr>
        <w:t>2</w:t>
      </w:r>
    </w:p>
    <w:p>
      <w:pPr>
        <w:spacing w:line="260" w:lineRule="auto"/>
        <w:rPr>
          <w:rFonts w:ascii="宋体"/>
          <w:sz w:val="21"/>
        </w:rPr>
      </w:pPr>
    </w:p>
    <w:p>
      <w:pPr>
        <w:spacing w:before="143" w:line="214" w:lineRule="auto"/>
        <w:ind w:firstLine="927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ascii="黑体" w:hAnsi="黑体" w:eastAsia="黑体" w:cs="黑体"/>
          <w:spacing w:val="-8"/>
          <w:sz w:val="44"/>
          <w:szCs w:val="44"/>
        </w:rPr>
        <w:t>年度项目考评优良工地数量计算规则</w:t>
      </w:r>
    </w:p>
    <w:p>
      <w:pPr>
        <w:spacing w:line="304" w:lineRule="auto"/>
        <w:rPr>
          <w:rFonts w:ascii="宋体"/>
          <w:sz w:val="21"/>
        </w:rPr>
      </w:pPr>
    </w:p>
    <w:bookmarkEnd w:id="0"/>
    <w:p>
      <w:pPr>
        <w:spacing w:before="104" w:line="283" w:lineRule="auto"/>
        <w:ind w:left="20" w:right="2" w:firstLine="633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市州本级及所辖县市区年度项目考评优良工地数量按下列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规则确定的比例进行计算（以考评项目为基数</w:t>
      </w:r>
      <w:r>
        <w:rPr>
          <w:rFonts w:ascii="仿宋" w:hAnsi="仿宋" w:eastAsia="仿宋" w:cs="仿宋"/>
          <w:spacing w:val="-108"/>
          <w:sz w:val="32"/>
          <w:szCs w:val="32"/>
        </w:rPr>
        <w:t>）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08"/>
          <w:sz w:val="32"/>
          <w:szCs w:val="32"/>
        </w:rPr>
        <w:t>，</w:t>
      </w:r>
      <w:r>
        <w:rPr>
          <w:rFonts w:ascii="仿宋" w:hAnsi="仿宋" w:eastAsia="仿宋" w:cs="仿宋"/>
          <w:spacing w:val="-7"/>
          <w:sz w:val="32"/>
          <w:szCs w:val="32"/>
        </w:rPr>
        <w:t>其中县市区数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量和比例由市州项目考评主体确定：</w:t>
      </w:r>
    </w:p>
    <w:p>
      <w:pPr>
        <w:spacing w:line="184" w:lineRule="exact"/>
      </w:pPr>
    </w:p>
    <w:p>
      <w:pPr>
        <w:sectPr>
          <w:footerReference r:id="rId5" w:type="default"/>
          <w:pgSz w:w="11906" w:h="16839"/>
          <w:pgMar w:top="1431" w:right="1557" w:bottom="1979" w:left="1588" w:header="0" w:footer="1781" w:gutter="0"/>
          <w:cols w:equalWidth="0" w:num="1">
            <w:col w:w="8761"/>
          </w:cols>
        </w:sectPr>
      </w:pPr>
    </w:p>
    <w:p>
      <w:pPr>
        <w:spacing w:before="65" w:line="188" w:lineRule="auto"/>
        <w:ind w:firstLine="652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8"/>
          <w:sz w:val="32"/>
          <w:szCs w:val="32"/>
        </w:rPr>
        <w:t>监督抽查符合率</w:t>
      </w:r>
    </w:p>
    <w:p>
      <w:pPr>
        <w:spacing w:before="300" w:line="180" w:lineRule="auto"/>
        <w:ind w:firstLine="789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0</w:t>
      </w:r>
    </w:p>
    <w:p>
      <w:pPr>
        <w:spacing w:before="187" w:line="574" w:lineRule="exact"/>
        <w:ind w:firstLine="791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pacing w:val="-5"/>
          <w:position w:val="12"/>
          <w:sz w:val="32"/>
          <w:szCs w:val="32"/>
        </w:rPr>
        <w:t>90%</w:t>
      </w:r>
    </w:p>
    <w:p>
      <w:pPr>
        <w:spacing w:line="429" w:lineRule="exact"/>
        <w:ind w:firstLine="789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pacing w:val="-5"/>
          <w:position w:val="1"/>
          <w:sz w:val="32"/>
          <w:szCs w:val="32"/>
        </w:rPr>
        <w:t>0—90%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before="64" w:line="188" w:lineRule="auto"/>
        <w:ind w:firstLine="86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1"/>
          <w:sz w:val="32"/>
          <w:szCs w:val="32"/>
        </w:rPr>
        <w:t>年度项目考评优良工地比例</w:t>
      </w:r>
    </w:p>
    <w:p>
      <w:pPr>
        <w:spacing w:before="300" w:line="180" w:lineRule="auto"/>
        <w:ind w:firstLine="4679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0</w:t>
      </w:r>
    </w:p>
    <w:p>
      <w:pPr>
        <w:spacing w:before="187" w:line="293" w:lineRule="auto"/>
        <w:ind w:left="1667" w:right="12" w:firstLine="2589"/>
        <w:sectPr>
          <w:type w:val="continuous"/>
          <w:pgSz w:w="11906" w:h="16839"/>
          <w:pgMar w:top="1431" w:right="1557" w:bottom="1979" w:left="1588" w:header="0" w:footer="1781" w:gutter="0"/>
          <w:cols w:equalWidth="0" w:num="2">
            <w:col w:w="3818" w:space="100"/>
            <w:col w:w="4843"/>
          </w:cols>
        </w:sectPr>
      </w:pPr>
      <w:r>
        <w:rPr>
          <w:rFonts w:ascii="Times New Roman" w:hAnsi="Times New Roman" w:eastAsia="Times New Roman" w:cs="Times New Roman"/>
          <w:spacing w:val="-5"/>
          <w:sz w:val="32"/>
          <w:szCs w:val="32"/>
        </w:rPr>
        <w:t>25%</w:t>
      </w:r>
      <w:r>
        <w:rPr>
          <w:rFonts w:ascii="Times New Roman" w:hAnsi="Times New Roman" w:eastAsia="Times New Roman" w:cs="Times New Roman"/>
          <w:spacing w:val="1"/>
          <w:w w:val="10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按线性内插法计算确定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3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16</w:t>
    </w:r>
    <w:r>
      <w:rPr>
        <w:rFonts w:ascii="宋体" w:hAnsi="宋体" w:eastAsia="宋体" w:cs="宋体"/>
        <w:spacing w:val="6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A3A4880"/>
    <w:rsid w:val="6D47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730</Words>
  <Characters>749</Characters>
  <Lines>0</Lines>
  <Paragraphs>0</Paragraphs>
  <TotalTime>0</TotalTime>
  <ScaleCrop>false</ScaleCrop>
  <LinksUpToDate>false</LinksUpToDate>
  <CharactersWithSpaces>831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2022-05-10T00:53:08Z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78E4CEFD795A4C35A840E42C318573F2</vt:lpwstr>
  </property>
</Properties>
</file>