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7" w:lineRule="auto"/>
        <w:ind w:firstLine="2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3"/>
          <w:sz w:val="32"/>
          <w:szCs w:val="32"/>
        </w:rPr>
        <w:t>附件</w:t>
      </w:r>
      <w:r>
        <w:rPr>
          <w:rFonts w:ascii="黑体" w:hAnsi="黑体" w:eastAsia="黑体" w:cs="黑体"/>
          <w:spacing w:val="-7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3"/>
          <w:sz w:val="32"/>
          <w:szCs w:val="32"/>
        </w:rPr>
        <w:t>3</w:t>
      </w:r>
    </w:p>
    <w:p>
      <w:pPr>
        <w:spacing w:line="321" w:lineRule="auto"/>
        <w:rPr>
          <w:rFonts w:ascii="宋体"/>
          <w:sz w:val="21"/>
        </w:rPr>
      </w:pPr>
    </w:p>
    <w:p>
      <w:pPr>
        <w:spacing w:before="117" w:line="215" w:lineRule="auto"/>
        <w:ind w:firstLine="681"/>
        <w:rPr>
          <w:rFonts w:ascii="黑体" w:hAnsi="黑体" w:eastAsia="黑体" w:cs="黑体"/>
          <w:sz w:val="36"/>
          <w:szCs w:val="36"/>
        </w:rPr>
      </w:pPr>
      <w:bookmarkStart w:id="0" w:name="_GoBack"/>
      <w:r>
        <w:rPr>
          <w:rFonts w:ascii="黑体" w:hAnsi="黑体" w:eastAsia="黑体" w:cs="黑体"/>
          <w:spacing w:val="-8"/>
          <w:sz w:val="36"/>
          <w:szCs w:val="36"/>
        </w:rPr>
        <w:t>企业年度项目考评优良工地综合获得率计算规则</w:t>
      </w:r>
    </w:p>
    <w:p>
      <w:pPr>
        <w:spacing w:line="299" w:lineRule="auto"/>
        <w:rPr>
          <w:rFonts w:ascii="宋体"/>
          <w:sz w:val="21"/>
        </w:rPr>
      </w:pPr>
    </w:p>
    <w:bookmarkEnd w:id="0"/>
    <w:p>
      <w:pPr>
        <w:spacing w:line="299" w:lineRule="auto"/>
        <w:rPr>
          <w:rFonts w:ascii="宋体"/>
          <w:sz w:val="21"/>
        </w:rPr>
      </w:pPr>
    </w:p>
    <w:p>
      <w:pPr>
        <w:spacing w:before="104" w:line="327" w:lineRule="auto"/>
        <w:ind w:left="18" w:right="15" w:firstLine="63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1</w:t>
      </w:r>
      <w:r>
        <w:rPr>
          <w:rFonts w:ascii="仿宋" w:hAnsi="仿宋" w:eastAsia="仿宋" w:cs="仿宋"/>
          <w:spacing w:val="-10"/>
          <w:sz w:val="32"/>
          <w:szCs w:val="32"/>
        </w:rPr>
        <w:t>．企业年度项目考评优良工地综合获得率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=</w:t>
      </w:r>
      <w:r>
        <w:rPr>
          <w:rFonts w:ascii="仿宋" w:hAnsi="仿宋" w:eastAsia="仿宋" w:cs="仿宋"/>
          <w:spacing w:val="-10"/>
          <w:sz w:val="32"/>
          <w:szCs w:val="32"/>
        </w:rPr>
        <w:t>企业年度项目考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评优良工地实际获得率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×</w:t>
      </w:r>
      <w:r>
        <w:rPr>
          <w:rFonts w:ascii="仿宋" w:hAnsi="仿宋" w:eastAsia="仿宋" w:cs="仿宋"/>
          <w:spacing w:val="-9"/>
          <w:sz w:val="32"/>
          <w:szCs w:val="32"/>
        </w:rPr>
        <w:t>贡献调整系数，最高为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100%</w:t>
      </w:r>
      <w:r>
        <w:rPr>
          <w:rFonts w:ascii="仿宋" w:hAnsi="仿宋" w:eastAsia="仿宋" w:cs="仿宋"/>
          <w:spacing w:val="-9"/>
          <w:sz w:val="32"/>
          <w:szCs w:val="32"/>
        </w:rPr>
        <w:t>。</w:t>
      </w:r>
    </w:p>
    <w:p>
      <w:pPr>
        <w:spacing w:before="11" w:line="331" w:lineRule="auto"/>
        <w:ind w:left="18" w:right="10" w:firstLine="60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2</w:t>
      </w:r>
      <w:r>
        <w:rPr>
          <w:rFonts w:ascii="仿宋" w:hAnsi="仿宋" w:eastAsia="仿宋" w:cs="仿宋"/>
          <w:spacing w:val="-9"/>
          <w:sz w:val="32"/>
          <w:szCs w:val="32"/>
        </w:rPr>
        <w:t>．企业年度项目考评优良工地实际获得率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=</w:t>
      </w:r>
      <w:r>
        <w:rPr>
          <w:rFonts w:ascii="仿宋" w:hAnsi="仿宋" w:eastAsia="仿宋" w:cs="仿宋"/>
          <w:spacing w:val="-9"/>
          <w:sz w:val="32"/>
          <w:szCs w:val="32"/>
        </w:rPr>
        <w:t>企业年度项目考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评优良工地项目个数与企业年度内项目考评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次及以上考评项目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总数之比</w:t>
      </w:r>
    </w:p>
    <w:p>
      <w:pPr>
        <w:spacing w:before="2" w:line="202" w:lineRule="auto"/>
        <w:ind w:firstLine="625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pacing w:val="-4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．</w:t>
      </w:r>
      <w:r>
        <w:rPr>
          <w:rFonts w:ascii="仿宋" w:hAnsi="仿宋" w:eastAsia="仿宋" w:cs="仿宋"/>
          <w:spacing w:val="-4"/>
          <w:sz w:val="32"/>
          <w:szCs w:val="32"/>
        </w:rPr>
        <w:t>贡献调整系数，根据企业年度项目考评优良工地项目个</w:t>
      </w:r>
    </w:p>
    <w:p>
      <w:pPr>
        <w:spacing w:line="158" w:lineRule="exact"/>
      </w:pPr>
    </w:p>
    <w:p>
      <w:pPr>
        <w:sectPr>
          <w:footerReference r:id="rId5" w:type="default"/>
          <w:pgSz w:w="11906" w:h="16839"/>
          <w:pgMar w:top="1431" w:right="1546" w:bottom="1979" w:left="1592" w:header="0" w:footer="1781" w:gutter="0"/>
          <w:cols w:equalWidth="0" w:num="1">
            <w:col w:w="8767"/>
          </w:cols>
        </w:sectPr>
      </w:pPr>
    </w:p>
    <w:p>
      <w:pPr>
        <w:spacing w:before="66" w:line="188" w:lineRule="auto"/>
        <w:ind w:firstLine="1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数，按下列规则计算：</w:t>
      </w:r>
    </w:p>
    <w:p>
      <w:pPr>
        <w:spacing w:before="248" w:line="188" w:lineRule="auto"/>
        <w:ind w:firstLine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年度项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目考评优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良工地项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目个数</w:t>
      </w:r>
    </w:p>
    <w:p>
      <w:pPr>
        <w:spacing w:before="307" w:line="180" w:lineRule="auto"/>
        <w:ind w:firstLine="11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5</w:t>
      </w:r>
    </w:p>
    <w:p>
      <w:pPr>
        <w:spacing w:before="180" w:line="429" w:lineRule="exact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3"/>
          <w:position w:val="1"/>
          <w:sz w:val="32"/>
          <w:szCs w:val="32"/>
        </w:rPr>
        <w:t>≥100</w:t>
      </w:r>
    </w:p>
    <w:p>
      <w:pPr>
        <w:spacing w:before="257" w:line="177" w:lineRule="auto"/>
        <w:ind w:firstLine="11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5—</w:t>
      </w:r>
      <w:r>
        <w:rPr>
          <w:rFonts w:ascii="Times New Roman" w:hAnsi="Times New Roman" w:eastAsia="Times New Roman" w:cs="Times New Roman"/>
          <w:spacing w:val="-48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100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9" w:lineRule="auto"/>
        <w:rPr>
          <w:rFonts w:ascii="宋体"/>
          <w:sz w:val="21"/>
        </w:rPr>
      </w:pPr>
    </w:p>
    <w:p>
      <w:pPr>
        <w:spacing w:before="104" w:line="352" w:lineRule="auto"/>
        <w:ind w:left="3411" w:hanging="1935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仿宋" w:hAnsi="仿宋" w:eastAsia="仿宋" w:cs="仿宋"/>
          <w:spacing w:val="21"/>
          <w:sz w:val="32"/>
          <w:szCs w:val="32"/>
        </w:rPr>
        <w:t>贡献调整系数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3"/>
          <w:w w:val="84"/>
          <w:sz w:val="32"/>
          <w:szCs w:val="32"/>
        </w:rPr>
        <w:t>1</w:t>
      </w:r>
    </w:p>
    <w:p>
      <w:pPr>
        <w:spacing w:before="53" w:line="518" w:lineRule="exact"/>
        <w:ind w:firstLine="3076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5"/>
          <w:position w:val="18"/>
          <w:sz w:val="32"/>
          <w:szCs w:val="32"/>
        </w:rPr>
        <w:t>1.4</w:t>
      </w:r>
    </w:p>
    <w:p>
      <w:pPr>
        <w:spacing w:before="1" w:line="188" w:lineRule="auto"/>
        <w:ind w:firstLine="2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按线性内插法计算确定</w:t>
      </w:r>
    </w:p>
    <w:p>
      <w:pPr>
        <w:sectPr>
          <w:type w:val="continuous"/>
          <w:pgSz w:w="11906" w:h="16839"/>
          <w:pgMar w:top="1431" w:right="1546" w:bottom="1979" w:left="1592" w:header="0" w:footer="1781" w:gutter="0"/>
          <w:cols w:equalWidth="0" w:num="2">
            <w:col w:w="5133" w:space="100"/>
            <w:col w:w="3535"/>
          </w:cols>
        </w:sectPr>
      </w:pPr>
    </w:p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729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17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E6EEE"/>
    <w:rsid w:val="6D47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130</Characters>
  <Lines>0</Lines>
  <Paragraphs>0</Paragraphs>
  <TotalTime>0</TotalTime>
  <ScaleCrop>false</ScaleCrop>
  <LinksUpToDate>false</LinksUpToDate>
  <CharactersWithSpaces>135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DD82AA7F7EAB49A292D0A5292262E862</vt:lpwstr>
  </property>
</Properties>
</file>