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5" w:line="187" w:lineRule="auto"/>
        <w:ind w:firstLine="5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9"/>
          <w:sz w:val="32"/>
          <w:szCs w:val="32"/>
        </w:rPr>
        <w:t>附表</w:t>
      </w:r>
      <w:r>
        <w:rPr>
          <w:rFonts w:ascii="黑体" w:hAnsi="黑体" w:eastAsia="黑体" w:cs="黑体"/>
          <w:spacing w:val="-64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9"/>
          <w:sz w:val="32"/>
          <w:szCs w:val="32"/>
        </w:rPr>
        <w:t>3-1</w:t>
      </w:r>
    </w:p>
    <w:p>
      <w:pPr>
        <w:spacing w:line="259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line="260" w:lineRule="auto"/>
        <w:rPr>
          <w:rFonts w:ascii="宋体"/>
          <w:sz w:val="21"/>
        </w:rPr>
      </w:pPr>
    </w:p>
    <w:p>
      <w:pPr>
        <w:spacing w:before="78" w:line="502" w:lineRule="exact"/>
        <w:ind w:firstLine="4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position w:val="19"/>
          <w:sz w:val="24"/>
          <w:szCs w:val="24"/>
        </w:rPr>
        <w:t>项目标段名称：</w:t>
      </w:r>
    </w:p>
    <w:p>
      <w:pPr>
        <w:spacing w:before="1" w:line="188" w:lineRule="auto"/>
        <w:ind w:firstLine="4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施工企业名称：</w:t>
      </w:r>
    </w:p>
    <w:p>
      <w:pPr>
        <w:spacing w:line="14" w:lineRule="auto"/>
        <w:rPr>
          <w:rFonts w:ascii="宋体"/>
          <w:sz w:val="2"/>
        </w:rPr>
      </w:pPr>
      <w:r>
        <w:rPr>
          <w:rFonts w:ascii="宋体" w:hAnsi="宋体" w:eastAsia="宋体" w:cs="宋体"/>
          <w:sz w:val="2"/>
          <w:szCs w:val="2"/>
        </w:rPr>
        <w:br w:type="column"/>
      </w:r>
    </w:p>
    <w:p>
      <w:pPr>
        <w:spacing w:line="298" w:lineRule="auto"/>
        <w:rPr>
          <w:rFonts w:ascii="宋体"/>
          <w:sz w:val="21"/>
        </w:rPr>
      </w:pPr>
    </w:p>
    <w:p>
      <w:pPr>
        <w:spacing w:before="143" w:line="181" w:lineRule="auto"/>
        <w:ind w:firstLine="645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-1"/>
          <w:sz w:val="44"/>
          <w:szCs w:val="44"/>
        </w:rPr>
        <w:t>建筑施工安全生产标准化项目考评评分汇总表</w:t>
      </w:r>
    </w:p>
    <w:bookmarkEnd w:id="0"/>
    <w:p>
      <w:pPr>
        <w:spacing w:before="239" w:line="189" w:lineRule="auto"/>
        <w:ind w:firstLine="433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（房屋建筑）</w:t>
      </w:r>
    </w:p>
    <w:p>
      <w:pPr>
        <w:spacing w:line="428" w:lineRule="auto"/>
        <w:rPr>
          <w:rFonts w:ascii="宋体"/>
          <w:sz w:val="21"/>
        </w:rPr>
      </w:pPr>
    </w:p>
    <w:p>
      <w:pPr>
        <w:spacing w:before="78" w:line="189" w:lineRule="auto"/>
        <w:ind w:firstLine="424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3"/>
          <w:sz w:val="24"/>
          <w:szCs w:val="24"/>
        </w:rPr>
        <w:t>施工许可证号：</w:t>
      </w:r>
    </w:p>
    <w:p>
      <w:pPr>
        <w:spacing w:before="255" w:line="189" w:lineRule="auto"/>
        <w:ind w:firstLine="425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4"/>
          <w:w w:val="99"/>
          <w:sz w:val="24"/>
          <w:szCs w:val="24"/>
        </w:rPr>
        <w:t>监理企业名称：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            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考评时间：</w:t>
      </w:r>
      <w:r>
        <w:rPr>
          <w:rFonts w:ascii="仿宋" w:hAnsi="仿宋" w:eastAsia="仿宋" w:cs="仿宋"/>
          <w:spacing w:val="8"/>
          <w:sz w:val="24"/>
          <w:szCs w:val="24"/>
          <w:u w:val="single" w:color="auto"/>
        </w:rPr>
        <w:t xml:space="preserve">    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年第</w:t>
      </w:r>
      <w:r>
        <w:rPr>
          <w:rFonts w:ascii="仿宋" w:hAnsi="仿宋" w:eastAsia="仿宋" w:cs="仿宋"/>
          <w:spacing w:val="8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24"/>
          <w:w w:val="99"/>
          <w:sz w:val="24"/>
          <w:szCs w:val="24"/>
        </w:rPr>
        <w:t>季度</w:t>
      </w:r>
    </w:p>
    <w:p>
      <w:pPr>
        <w:sectPr>
          <w:footerReference r:id="rId5" w:type="default"/>
          <w:pgSz w:w="16839" w:h="11906"/>
          <w:pgMar w:top="891" w:right="1104" w:bottom="1013" w:left="1103" w:header="0" w:footer="816" w:gutter="0"/>
          <w:cols w:equalWidth="0" w:num="2">
            <w:col w:w="2182" w:space="100"/>
            <w:col w:w="12350"/>
          </w:cols>
        </w:sectPr>
      </w:pPr>
    </w:p>
    <w:p>
      <w:pPr>
        <w:spacing w:line="58" w:lineRule="exact"/>
      </w:pPr>
    </w:p>
    <w:tbl>
      <w:tblPr>
        <w:tblStyle w:val="4"/>
        <w:tblW w:w="146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2"/>
        <w:gridCol w:w="976"/>
        <w:gridCol w:w="1187"/>
        <w:gridCol w:w="1094"/>
        <w:gridCol w:w="1131"/>
        <w:gridCol w:w="1135"/>
        <w:gridCol w:w="612"/>
        <w:gridCol w:w="485"/>
        <w:gridCol w:w="1121"/>
        <w:gridCol w:w="857"/>
        <w:gridCol w:w="249"/>
        <w:gridCol w:w="1580"/>
        <w:gridCol w:w="178"/>
        <w:gridCol w:w="1296"/>
        <w:gridCol w:w="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772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8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①现场考评得分</w:t>
            </w:r>
          </w:p>
        </w:tc>
        <w:tc>
          <w:tcPr>
            <w:tcW w:w="976" w:type="dxa"/>
            <w:vMerge w:val="restart"/>
            <w:tcBorders>
              <w:bottom w:val="nil"/>
            </w:tcBorders>
            <w:vAlign w:val="top"/>
          </w:tcPr>
          <w:p>
            <w:pPr>
              <w:spacing w:line="470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98" w:right="186" w:hanging="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现场考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评等级</w:t>
            </w:r>
          </w:p>
        </w:tc>
        <w:tc>
          <w:tcPr>
            <w:tcW w:w="11877" w:type="dxa"/>
            <w:gridSpan w:val="13"/>
            <w:vAlign w:val="top"/>
          </w:tcPr>
          <w:p>
            <w:pPr>
              <w:spacing w:before="155" w:line="188" w:lineRule="auto"/>
              <w:ind w:firstLine="52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分项名称及分值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177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87" w:type="dxa"/>
            <w:vAlign w:val="top"/>
          </w:tcPr>
          <w:p>
            <w:pPr>
              <w:spacing w:before="184" w:line="188" w:lineRule="auto"/>
              <w:ind w:firstLine="2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安全管理</w:t>
            </w:r>
          </w:p>
          <w:p>
            <w:pPr>
              <w:spacing w:before="108" w:line="288" w:lineRule="auto"/>
              <w:ind w:left="404" w:right="167" w:hanging="2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4" w:type="dxa"/>
            <w:vAlign w:val="top"/>
          </w:tcPr>
          <w:p>
            <w:pPr>
              <w:spacing w:before="184" w:line="188" w:lineRule="auto"/>
              <w:ind w:firstLine="1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文明施工</w:t>
            </w:r>
          </w:p>
          <w:p>
            <w:pPr>
              <w:spacing w:before="108" w:line="288" w:lineRule="auto"/>
              <w:ind w:left="359" w:right="135" w:hanging="2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15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31" w:type="dxa"/>
            <w:vAlign w:val="top"/>
          </w:tcPr>
          <w:p>
            <w:pPr>
              <w:spacing w:line="242" w:lineRule="auto"/>
              <w:rPr>
                <w:rFonts w:ascii="宋体"/>
                <w:sz w:val="21"/>
              </w:rPr>
            </w:pPr>
          </w:p>
          <w:p>
            <w:pPr>
              <w:spacing w:before="65" w:line="288" w:lineRule="auto"/>
              <w:ind w:left="127" w:right="106" w:hanging="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0"/>
                <w:sz w:val="20"/>
                <w:szCs w:val="20"/>
              </w:rPr>
              <w:t>脚手架（满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1135" w:type="dxa"/>
            <w:vAlign w:val="top"/>
          </w:tcPr>
          <w:p>
            <w:pPr>
              <w:spacing w:before="184" w:line="188" w:lineRule="auto"/>
              <w:ind w:firstLine="17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基坑工程</w:t>
            </w:r>
          </w:p>
          <w:p>
            <w:pPr>
              <w:spacing w:before="108" w:line="288" w:lineRule="auto"/>
              <w:ind w:left="379" w:right="141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097" w:type="dxa"/>
            <w:gridSpan w:val="2"/>
            <w:vAlign w:val="top"/>
          </w:tcPr>
          <w:p>
            <w:pPr>
              <w:spacing w:before="184" w:line="188" w:lineRule="auto"/>
              <w:ind w:firstLine="1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模板支架</w:t>
            </w:r>
          </w:p>
          <w:p>
            <w:pPr>
              <w:spacing w:before="108" w:line="288" w:lineRule="auto"/>
              <w:ind w:left="359" w:right="136" w:hanging="24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21" w:type="dxa"/>
            <w:vAlign w:val="top"/>
          </w:tcPr>
          <w:p>
            <w:pPr>
              <w:spacing w:before="184" w:line="188" w:lineRule="auto"/>
              <w:ind w:firstLine="17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高处作业</w:t>
            </w:r>
          </w:p>
          <w:p>
            <w:pPr>
              <w:spacing w:before="108" w:line="288" w:lineRule="auto"/>
              <w:ind w:left="372" w:right="134" w:hanging="2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106" w:type="dxa"/>
            <w:gridSpan w:val="2"/>
            <w:vAlign w:val="top"/>
          </w:tcPr>
          <w:p>
            <w:pPr>
              <w:spacing w:before="184" w:line="188" w:lineRule="auto"/>
              <w:ind w:firstLine="1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施工用电</w:t>
            </w:r>
          </w:p>
          <w:p>
            <w:pPr>
              <w:spacing w:before="108" w:line="288" w:lineRule="auto"/>
              <w:ind w:left="366" w:right="145" w:hanging="24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（满分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  <w:tc>
          <w:tcPr>
            <w:tcW w:w="1580" w:type="dxa"/>
            <w:vAlign w:val="top"/>
          </w:tcPr>
          <w:p>
            <w:pPr>
              <w:spacing w:before="184" w:line="188" w:lineRule="auto"/>
              <w:ind w:firstLine="20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物料提升机与</w:t>
            </w:r>
          </w:p>
          <w:p>
            <w:pPr>
              <w:spacing w:before="108" w:line="288" w:lineRule="auto"/>
              <w:ind w:left="352" w:right="104" w:hanging="2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施工升降机（满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1474" w:type="dxa"/>
            <w:gridSpan w:val="2"/>
            <w:vAlign w:val="top"/>
          </w:tcPr>
          <w:p>
            <w:pPr>
              <w:spacing w:before="184" w:line="188" w:lineRule="auto"/>
              <w:ind w:firstLine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塔式起重机与</w:t>
            </w:r>
          </w:p>
          <w:p>
            <w:pPr>
              <w:spacing w:before="108" w:line="288" w:lineRule="auto"/>
              <w:ind w:left="301" w:right="134" w:hanging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起重吊装（满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</w:t>
            </w:r>
            <w:r>
              <w:rPr>
                <w:rFonts w:ascii="仿宋" w:hAnsi="仿宋" w:eastAsia="仿宋" w:cs="仿宋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0"/>
                <w:szCs w:val="20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分）</w:t>
            </w:r>
          </w:p>
        </w:tc>
        <w:tc>
          <w:tcPr>
            <w:tcW w:w="952" w:type="dxa"/>
            <w:vAlign w:val="top"/>
          </w:tcPr>
          <w:p>
            <w:pPr>
              <w:spacing w:before="184" w:line="238" w:lineRule="auto"/>
              <w:ind w:left="123" w:right="109" w:firstLine="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施工机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w w:val="98"/>
                <w:sz w:val="20"/>
                <w:szCs w:val="20"/>
              </w:rPr>
              <w:t>具（满分</w:t>
            </w:r>
          </w:p>
          <w:p>
            <w:pPr>
              <w:spacing w:before="108" w:line="188" w:lineRule="auto"/>
              <w:ind w:firstLine="2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7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76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8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97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21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06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8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74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95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2748" w:type="dxa"/>
            <w:gridSpan w:val="2"/>
            <w:vAlign w:val="top"/>
          </w:tcPr>
          <w:p>
            <w:pPr>
              <w:spacing w:before="77" w:line="238" w:lineRule="auto"/>
              <w:ind w:left="131" w:right="436" w:hanging="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②项目部建筑工人实名制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管理得分</w:t>
            </w:r>
          </w:p>
        </w:tc>
        <w:tc>
          <w:tcPr>
            <w:tcW w:w="5159" w:type="dxa"/>
            <w:gridSpan w:val="5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77" w:line="238" w:lineRule="auto"/>
              <w:ind w:left="117" w:right="152" w:hanging="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④监理部建筑工人实名制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管理得分</w:t>
            </w:r>
          </w:p>
        </w:tc>
        <w:tc>
          <w:tcPr>
            <w:tcW w:w="425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74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5159" w:type="dxa"/>
            <w:gridSpan w:val="5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tcBorders>
              <w:left w:val="single" w:color="000000" w:sz="10" w:space="0"/>
            </w:tcBorders>
            <w:vAlign w:val="top"/>
          </w:tcPr>
          <w:p>
            <w:pPr>
              <w:spacing w:before="188" w:line="188" w:lineRule="auto"/>
              <w:ind w:firstLine="1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⑤监理报告情况得分</w:t>
            </w:r>
          </w:p>
        </w:tc>
        <w:tc>
          <w:tcPr>
            <w:tcW w:w="4255" w:type="dxa"/>
            <w:gridSpan w:val="5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748" w:type="dxa"/>
            <w:gridSpan w:val="2"/>
            <w:vAlign w:val="top"/>
          </w:tcPr>
          <w:p>
            <w:pPr>
              <w:spacing w:before="187" w:line="188" w:lineRule="auto"/>
              <w:ind w:firstLine="1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③施工项目考评</w:t>
            </w:r>
          </w:p>
        </w:tc>
        <w:tc>
          <w:tcPr>
            <w:tcW w:w="2281" w:type="dxa"/>
            <w:gridSpan w:val="2"/>
            <w:vAlign w:val="top"/>
          </w:tcPr>
          <w:p>
            <w:pPr>
              <w:spacing w:before="187" w:line="188" w:lineRule="auto"/>
              <w:ind w:firstLine="95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878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>
            <w:pPr>
              <w:spacing w:line="362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10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⑥监理项目考评</w:t>
            </w:r>
          </w:p>
        </w:tc>
        <w:tc>
          <w:tcPr>
            <w:tcW w:w="2007" w:type="dxa"/>
            <w:gridSpan w:val="3"/>
            <w:vAlign w:val="top"/>
          </w:tcPr>
          <w:p>
            <w:pPr>
              <w:spacing w:before="187" w:line="188" w:lineRule="auto"/>
              <w:ind w:firstLine="8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得分</w:t>
            </w:r>
          </w:p>
        </w:tc>
        <w:tc>
          <w:tcPr>
            <w:tcW w:w="2248" w:type="dxa"/>
            <w:gridSpan w:val="2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748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281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spacing w:before="188" w:line="188" w:lineRule="auto"/>
              <w:ind w:firstLine="9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878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463" w:type="dxa"/>
            <w:gridSpan w:val="3"/>
            <w:vMerge w:val="continue"/>
            <w:tcBorders>
              <w:top w:val="nil"/>
              <w:left w:val="single" w:color="000000" w:sz="10" w:space="0"/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007" w:type="dxa"/>
            <w:gridSpan w:val="3"/>
            <w:tcBorders>
              <w:bottom w:val="single" w:color="000000" w:sz="10" w:space="0"/>
            </w:tcBorders>
            <w:vAlign w:val="top"/>
          </w:tcPr>
          <w:p>
            <w:pPr>
              <w:spacing w:before="188" w:line="188" w:lineRule="auto"/>
              <w:ind w:firstLine="8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>等级</w:t>
            </w:r>
          </w:p>
        </w:tc>
        <w:tc>
          <w:tcPr>
            <w:tcW w:w="2248" w:type="dxa"/>
            <w:gridSpan w:val="2"/>
            <w:tcBorders>
              <w:bottom w:val="single" w:color="000000" w:sz="10" w:space="0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7295" w:type="dxa"/>
            <w:gridSpan w:val="6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0" w:line="188" w:lineRule="auto"/>
              <w:ind w:firstLine="1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考评人：</w:t>
            </w:r>
          </w:p>
        </w:tc>
        <w:tc>
          <w:tcPr>
            <w:tcW w:w="7330" w:type="dxa"/>
            <w:gridSpan w:val="9"/>
            <w:tcBorders>
              <w:top w:val="single" w:color="000000" w:sz="10" w:space="0"/>
              <w:bottom w:val="nil"/>
            </w:tcBorders>
            <w:vAlign w:val="top"/>
          </w:tcPr>
          <w:p>
            <w:pPr>
              <w:spacing w:before="50" w:line="188" w:lineRule="auto"/>
              <w:ind w:firstLine="13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审核提交人：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295" w:type="dxa"/>
            <w:gridSpan w:val="6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  <w:p>
            <w:pPr>
              <w:rPr>
                <w:rFonts w:ascii="宋体"/>
                <w:sz w:val="21"/>
              </w:rPr>
            </w:pPr>
          </w:p>
          <w:p>
            <w:pPr>
              <w:spacing w:line="241" w:lineRule="auto"/>
              <w:rPr>
                <w:rFonts w:ascii="宋体"/>
                <w:sz w:val="21"/>
              </w:rPr>
            </w:pPr>
          </w:p>
          <w:p>
            <w:pPr>
              <w:spacing w:before="65" w:line="188" w:lineRule="auto"/>
              <w:ind w:firstLine="43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  <w:tc>
          <w:tcPr>
            <w:tcW w:w="7330" w:type="dxa"/>
            <w:gridSpan w:val="9"/>
            <w:tcBorders>
              <w:top w:val="nil"/>
            </w:tcBorders>
            <w:vAlign w:val="top"/>
          </w:tcPr>
          <w:p>
            <w:pPr>
              <w:spacing w:line="447" w:lineRule="auto"/>
              <w:rPr>
                <w:rFonts w:ascii="宋体"/>
                <w:sz w:val="21"/>
              </w:rPr>
            </w:pPr>
          </w:p>
          <w:p>
            <w:pPr>
              <w:spacing w:before="65" w:line="312" w:lineRule="exact"/>
              <w:ind w:firstLine="43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7"/>
                <w:sz w:val="20"/>
                <w:szCs w:val="20"/>
              </w:rPr>
              <w:t>考评主体章</w:t>
            </w:r>
          </w:p>
          <w:p>
            <w:pPr>
              <w:spacing w:line="204" w:lineRule="auto"/>
              <w:ind w:firstLine="43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月</w:t>
            </w:r>
            <w:r>
              <w:rPr>
                <w:rFonts w:ascii="仿宋" w:hAnsi="仿宋" w:eastAsia="仿宋" w:cs="仿宋"/>
                <w:spacing w:val="18"/>
                <w:sz w:val="20"/>
                <w:szCs w:val="20"/>
              </w:rPr>
              <w:t xml:space="preserve">   </w:t>
            </w: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line="14" w:lineRule="auto"/>
        <w:rPr>
          <w:rFonts w:ascii="宋体"/>
          <w:sz w:val="2"/>
        </w:rPr>
      </w:pPr>
    </w:p>
    <w:p>
      <w:pPr>
        <w:sectPr>
          <w:type w:val="continuous"/>
          <w:pgSz w:w="16839" w:h="11906"/>
          <w:pgMar w:top="891" w:right="1104" w:bottom="1013" w:left="1103" w:header="0" w:footer="816" w:gutter="0"/>
          <w:cols w:equalWidth="0" w:num="1">
            <w:col w:w="14631"/>
          </w:cols>
        </w:sectPr>
      </w:pPr>
    </w:p>
    <w:p>
      <w:pPr>
        <w:spacing w:before="40" w:line="188" w:lineRule="auto"/>
        <w:ind w:firstLine="14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0"/>
          <w:sz w:val="20"/>
          <w:szCs w:val="20"/>
        </w:rPr>
        <w:t>注：</w:t>
      </w:r>
    </w:p>
    <w:p>
      <w:pPr>
        <w:spacing w:before="108" w:line="188" w:lineRule="auto"/>
        <w:ind w:firstLine="412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一、考评得分按下列规则确定：</w:t>
      </w:r>
    </w:p>
    <w:p>
      <w:pPr>
        <w:spacing w:before="108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、现场考评得分①按《建筑施工安全检查标准》（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）进行检查评分，考评时应重点检查《工程质量安全手册》</w:t>
      </w:r>
      <w:r>
        <w:rPr>
          <w:rFonts w:ascii="仿宋" w:hAnsi="仿宋" w:eastAsia="仿宋" w:cs="仿宋"/>
          <w:spacing w:val="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相关内容。</w:t>
      </w:r>
    </w:p>
    <w:p>
      <w:pPr>
        <w:spacing w:before="72" w:line="268" w:lineRule="exact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3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、施工项目考评得分③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×0.9+</w:t>
      </w:r>
      <w:r>
        <w:rPr>
          <w:rFonts w:ascii="仿宋" w:hAnsi="仿宋" w:eastAsia="仿宋" w:cs="仿宋"/>
          <w:spacing w:val="-3"/>
          <w:sz w:val="20"/>
          <w:szCs w:val="20"/>
        </w:rPr>
        <w:t>②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，其中②为附表</w:t>
      </w:r>
      <w:r>
        <w:rPr>
          <w:rFonts w:ascii="仿宋" w:hAnsi="仿宋" w:eastAsia="仿宋" w:cs="仿宋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建筑施工企业得分，按当季有效月份得分的平均值进行计分，由平台自动采集统计。当月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</w:p>
    <w:p>
      <w:pPr>
        <w:spacing w:before="80" w:line="188" w:lineRule="auto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天的为有效月份。</w:t>
      </w:r>
    </w:p>
    <w:p>
      <w:pPr>
        <w:spacing w:before="72" w:line="268" w:lineRule="exact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3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、监理项目考评得分⑥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仿宋" w:hAnsi="仿宋" w:eastAsia="仿宋" w:cs="仿宋"/>
          <w:spacing w:val="-3"/>
          <w:sz w:val="20"/>
          <w:szCs w:val="20"/>
        </w:rPr>
        <w:t>；监理企业对项目</w:t>
      </w:r>
      <w:r>
        <w:rPr>
          <w:rFonts w:ascii="仿宋" w:hAnsi="仿宋" w:eastAsia="仿宋" w:cs="仿宋"/>
          <w:spacing w:val="-4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自评未复核的追加扣</w:t>
      </w:r>
      <w:r>
        <w:rPr>
          <w:rFonts w:ascii="仿宋" w:hAnsi="仿宋" w:eastAsia="仿宋" w:cs="仿宋"/>
          <w:spacing w:val="-3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5</w:t>
      </w:r>
      <w:r>
        <w:rPr>
          <w:rFonts w:ascii="Times New Roman" w:hAnsi="Times New Roman" w:eastAsia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分，⑥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Times New Roman" w:hAnsi="Times New Roman" w:eastAsia="Times New Roman" w:cs="Times New Roman"/>
          <w:spacing w:val="-5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（①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-5</w:t>
      </w:r>
      <w:r>
        <w:rPr>
          <w:rFonts w:ascii="仿宋" w:hAnsi="仿宋" w:eastAsia="仿宋" w:cs="仿宋"/>
          <w:spacing w:val="-3"/>
          <w:sz w:val="20"/>
          <w:szCs w:val="20"/>
        </w:rPr>
        <w:t>）</w:t>
      </w:r>
      <w:r>
        <w:rPr>
          <w:rFonts w:ascii="仿宋" w:hAnsi="仿宋" w:eastAsia="仿宋" w:cs="仿宋"/>
          <w:spacing w:val="-7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×0.5+</w:t>
      </w:r>
      <w:r>
        <w:rPr>
          <w:rFonts w:ascii="仿宋" w:hAnsi="仿宋" w:eastAsia="仿宋" w:cs="仿宋"/>
          <w:spacing w:val="-3"/>
          <w:sz w:val="20"/>
          <w:szCs w:val="20"/>
        </w:rPr>
        <w:t>④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</w:t>
      </w:r>
      <w:r>
        <w:rPr>
          <w:rFonts w:ascii="Times New Roman" w:hAnsi="Times New Roman" w:eastAsia="Times New Roman" w:cs="Times New Roman"/>
          <w:spacing w:val="-26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1+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×0.4</w:t>
      </w:r>
      <w:r>
        <w:rPr>
          <w:rFonts w:ascii="Times New Roman" w:hAnsi="Times New Roman" w:eastAsia="Times New Roman" w:cs="Times New Roman"/>
          <w:spacing w:val="-2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。其中，④为附表</w:t>
      </w:r>
      <w:r>
        <w:rPr>
          <w:rFonts w:ascii="仿宋" w:hAnsi="仿宋" w:eastAsia="仿宋" w:cs="仿宋"/>
          <w:spacing w:val="-23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监理企业得分，</w:t>
      </w:r>
    </w:p>
    <w:p>
      <w:pPr>
        <w:spacing w:before="80" w:line="288" w:lineRule="auto"/>
        <w:ind w:left="8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3"/>
          <w:sz w:val="20"/>
          <w:szCs w:val="20"/>
        </w:rPr>
        <w:t>按当季有效月份得分的平均值进行计分，由平台自动采集统计，当月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“</w:t>
      </w:r>
      <w:r>
        <w:rPr>
          <w:rFonts w:ascii="仿宋" w:hAnsi="仿宋" w:eastAsia="仿宋" w:cs="仿宋"/>
          <w:spacing w:val="-3"/>
          <w:sz w:val="20"/>
          <w:szCs w:val="20"/>
        </w:rPr>
        <w:t>在建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”</w:t>
      </w:r>
      <w:r>
        <w:rPr>
          <w:rFonts w:ascii="仿宋" w:hAnsi="仿宋" w:eastAsia="仿宋" w:cs="仿宋"/>
          <w:spacing w:val="-3"/>
          <w:sz w:val="20"/>
          <w:szCs w:val="20"/>
        </w:rPr>
        <w:t>天数超过</w:t>
      </w:r>
      <w:r>
        <w:rPr>
          <w:rFonts w:ascii="仿宋" w:hAnsi="仿宋" w:eastAsia="仿宋" w:cs="仿宋"/>
          <w:spacing w:val="-32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21</w:t>
      </w:r>
      <w:r>
        <w:rPr>
          <w:rFonts w:ascii="Times New Roman" w:hAnsi="Times New Roman" w:eastAsia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天的为有效月份；</w:t>
      </w:r>
      <w:r>
        <w:rPr>
          <w:rFonts w:ascii="仿宋" w:hAnsi="仿宋" w:eastAsia="仿宋" w:cs="仿宋"/>
          <w:spacing w:val="30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⑤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=</w:t>
      </w:r>
      <w:r>
        <w:rPr>
          <w:rFonts w:ascii="仿宋" w:hAnsi="仿宋" w:eastAsia="仿宋" w:cs="仿宋"/>
          <w:spacing w:val="-3"/>
          <w:sz w:val="20"/>
          <w:szCs w:val="20"/>
        </w:rPr>
        <w:t>监理报告监督抽查符合率</w:t>
      </w:r>
      <w:r>
        <w:rPr>
          <w:rFonts w:ascii="Times New Roman" w:hAnsi="Times New Roman" w:eastAsia="Times New Roman" w:cs="Times New Roman"/>
          <w:spacing w:val="-3"/>
          <w:sz w:val="20"/>
          <w:szCs w:val="20"/>
        </w:rPr>
        <w:t>×100</w:t>
      </w:r>
      <w:r>
        <w:rPr>
          <w:rFonts w:ascii="Times New Roman" w:hAnsi="Times New Roman" w:eastAsia="Times New Roman" w:cs="Times New Roman"/>
          <w:spacing w:val="-2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，平台自动统计。监理未报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告的，得零分；</w:t>
      </w:r>
      <w:r>
        <w:rPr>
          <w:rFonts w:ascii="仿宋" w:hAnsi="仿宋" w:eastAsia="仿宋" w:cs="仿宋"/>
          <w:spacing w:val="7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监督机构未监督抽查生成符合率的，按该监理企业其它项目监理报告的平均得分，监理企业无其它项目的，按该项目考评主体范围内所有项目监理报告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3"/>
          <w:sz w:val="20"/>
          <w:szCs w:val="20"/>
        </w:rPr>
        <w:t>的平均得分。</w:t>
      </w:r>
    </w:p>
    <w:p>
      <w:pPr>
        <w:spacing w:line="202" w:lineRule="auto"/>
        <w:ind w:firstLine="416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"/>
          <w:sz w:val="20"/>
          <w:szCs w:val="20"/>
        </w:rPr>
        <w:t>二、考评等级按下列规则确定：</w:t>
      </w:r>
    </w:p>
    <w:p>
      <w:pPr>
        <w:spacing w:before="93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sz w:val="20"/>
          <w:szCs w:val="20"/>
        </w:rPr>
        <w:t>、现场考评等级按《建筑施工安全检查标准》（</w:t>
      </w:r>
      <w:r>
        <w:rPr>
          <w:rFonts w:ascii="Times New Roman" w:hAnsi="Times New Roman" w:eastAsia="Times New Roman" w:cs="Times New Roman"/>
          <w:spacing w:val="-5"/>
          <w:sz w:val="20"/>
          <w:szCs w:val="20"/>
        </w:rPr>
        <w:t>JGJ59</w:t>
      </w:r>
      <w:r>
        <w:rPr>
          <w:rFonts w:ascii="仿宋" w:hAnsi="仿宋" w:eastAsia="仿宋" w:cs="仿宋"/>
          <w:spacing w:val="-5"/>
          <w:sz w:val="20"/>
          <w:szCs w:val="20"/>
        </w:rPr>
        <w:t>）相关规定确定。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"/>
          <w:sz w:val="20"/>
          <w:szCs w:val="20"/>
        </w:rPr>
        <w:t>、施工项目考评和监理项目考评等级按下列原则划分：</w:t>
      </w:r>
    </w:p>
    <w:p>
      <w:pPr>
        <w:spacing w:before="108" w:line="188" w:lineRule="auto"/>
        <w:ind w:firstLine="419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6"/>
          <w:sz w:val="20"/>
          <w:szCs w:val="20"/>
        </w:rPr>
        <w:t>1</w:t>
      </w:r>
      <w:r>
        <w:rPr>
          <w:rFonts w:ascii="仿宋" w:hAnsi="仿宋" w:eastAsia="仿宋" w:cs="仿宋"/>
          <w:spacing w:val="-6"/>
          <w:sz w:val="20"/>
          <w:szCs w:val="20"/>
        </w:rPr>
        <w:t>）优良</w:t>
      </w:r>
    </w:p>
    <w:p>
      <w:pPr>
        <w:spacing w:before="109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现场考评等级为优良；</w:t>
      </w:r>
      <w:r>
        <w:rPr>
          <w:rFonts w:ascii="仿宋" w:hAnsi="仿宋" w:eastAsia="仿宋" w:cs="仿宋"/>
          <w:spacing w:val="4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项目考评得分在</w:t>
      </w:r>
      <w:r>
        <w:rPr>
          <w:rFonts w:ascii="仿宋" w:hAnsi="仿宋" w:eastAsia="仿宋" w:cs="仿宋"/>
          <w:spacing w:val="-3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分及以上。</w:t>
      </w:r>
    </w:p>
    <w:p>
      <w:pPr>
        <w:spacing w:before="108" w:line="188" w:lineRule="auto"/>
        <w:ind w:firstLine="400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2</w:t>
      </w:r>
      <w:r>
        <w:rPr>
          <w:rFonts w:ascii="仿宋" w:hAnsi="仿宋" w:eastAsia="仿宋" w:cs="仿宋"/>
          <w:spacing w:val="-1"/>
          <w:sz w:val="20"/>
          <w:szCs w:val="20"/>
        </w:rPr>
        <w:t>）合格</w:t>
      </w:r>
    </w:p>
    <w:p>
      <w:pPr>
        <w:spacing w:before="108" w:line="312" w:lineRule="exact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5"/>
          <w:position w:val="7"/>
          <w:sz w:val="20"/>
          <w:szCs w:val="20"/>
        </w:rPr>
        <w:t>现场考评等级为合格，项目考评得分</w:t>
      </w:r>
      <w:r>
        <w:rPr>
          <w:rFonts w:ascii="仿宋" w:hAnsi="仿宋" w:eastAsia="仿宋" w:cs="仿宋"/>
          <w:spacing w:val="-12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分及以上；</w:t>
      </w:r>
      <w:r>
        <w:rPr>
          <w:rFonts w:ascii="仿宋" w:hAnsi="仿宋" w:eastAsia="仿宋" w:cs="仿宋"/>
          <w:spacing w:val="49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或者现场考评等级为优良，项目考评得分</w:t>
      </w:r>
      <w:r>
        <w:rPr>
          <w:rFonts w:ascii="仿宋" w:hAnsi="仿宋" w:eastAsia="仿宋" w:cs="仿宋"/>
          <w:spacing w:val="-39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分及以上，不足</w:t>
      </w:r>
      <w:r>
        <w:rPr>
          <w:rFonts w:ascii="仿宋" w:hAnsi="仿宋" w:eastAsia="仿宋" w:cs="仿宋"/>
          <w:spacing w:val="-38"/>
          <w:position w:val="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5"/>
          <w:position w:val="7"/>
          <w:sz w:val="20"/>
          <w:szCs w:val="20"/>
        </w:rPr>
        <w:t>80</w:t>
      </w:r>
      <w:r>
        <w:rPr>
          <w:rFonts w:ascii="Times New Roman" w:hAnsi="Times New Roman" w:eastAsia="Times New Roman" w:cs="Times New Roman"/>
          <w:spacing w:val="15"/>
          <w:w w:val="101"/>
          <w:position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5"/>
          <w:position w:val="7"/>
          <w:sz w:val="20"/>
          <w:szCs w:val="20"/>
        </w:rPr>
        <w:t>分。</w:t>
      </w:r>
    </w:p>
    <w:p>
      <w:pPr>
        <w:spacing w:before="1" w:line="204" w:lineRule="auto"/>
        <w:ind w:firstLine="404"/>
        <w:rPr>
          <w:rFonts w:ascii="仿宋" w:hAnsi="仿宋" w:eastAsia="仿宋" w:cs="仿宋"/>
          <w:sz w:val="20"/>
          <w:szCs w:val="20"/>
        </w:rPr>
      </w:pP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3</w:t>
      </w:r>
      <w:r>
        <w:rPr>
          <w:rFonts w:ascii="仿宋" w:hAnsi="仿宋" w:eastAsia="仿宋" w:cs="仿宋"/>
          <w:spacing w:val="-1"/>
          <w:sz w:val="20"/>
          <w:szCs w:val="20"/>
        </w:rPr>
        <w:t>）有下列情形之一的，项目考评等级为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：</w:t>
      </w:r>
    </w:p>
    <w:p>
      <w:pPr>
        <w:spacing w:before="90" w:line="188" w:lineRule="auto"/>
        <w:ind w:firstLine="409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8"/>
          <w:sz w:val="20"/>
          <w:szCs w:val="20"/>
        </w:rPr>
        <w:t>现场考评等级为不合格的；</w:t>
      </w:r>
      <w:r>
        <w:rPr>
          <w:rFonts w:ascii="仿宋" w:hAnsi="仿宋" w:eastAsia="仿宋" w:cs="仿宋"/>
          <w:spacing w:val="5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项目考评得分不足</w:t>
      </w:r>
      <w:r>
        <w:rPr>
          <w:rFonts w:ascii="仿宋" w:hAnsi="仿宋" w:eastAsia="仿宋" w:cs="仿宋"/>
          <w:spacing w:val="-39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70</w:t>
      </w:r>
      <w:r>
        <w:rPr>
          <w:rFonts w:ascii="Times New Roman" w:hAnsi="Times New Roman" w:eastAsia="Times New Roman" w:cs="Times New Roman"/>
          <w:spacing w:val="15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分的；</w:t>
      </w:r>
      <w:r>
        <w:rPr>
          <w:rFonts w:ascii="仿宋" w:hAnsi="仿宋" w:eastAsia="仿宋" w:cs="仿宋"/>
          <w:spacing w:val="4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8"/>
          <w:sz w:val="20"/>
          <w:szCs w:val="20"/>
        </w:rPr>
        <w:t>根据第十三条规定认定为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“</w:t>
      </w:r>
      <w:r>
        <w:rPr>
          <w:rFonts w:ascii="仿宋" w:hAnsi="仿宋" w:eastAsia="仿宋" w:cs="仿宋"/>
          <w:spacing w:val="-8"/>
          <w:sz w:val="20"/>
          <w:szCs w:val="20"/>
        </w:rPr>
        <w:t>不合格</w:t>
      </w:r>
      <w:r>
        <w:rPr>
          <w:rFonts w:ascii="Times New Roman" w:hAnsi="Times New Roman" w:eastAsia="Times New Roman" w:cs="Times New Roman"/>
          <w:spacing w:val="-8"/>
          <w:sz w:val="20"/>
          <w:szCs w:val="20"/>
        </w:rPr>
        <w:t>”</w:t>
      </w:r>
      <w:r>
        <w:rPr>
          <w:rFonts w:ascii="仿宋" w:hAnsi="仿宋" w:eastAsia="仿宋" w:cs="仿宋"/>
          <w:spacing w:val="-8"/>
          <w:sz w:val="20"/>
          <w:szCs w:val="20"/>
        </w:rPr>
        <w:t>的。</w:t>
      </w:r>
    </w:p>
    <w:p>
      <w:pPr>
        <w:spacing w:before="109" w:line="188" w:lineRule="auto"/>
        <w:ind w:firstLine="415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"/>
          <w:sz w:val="20"/>
          <w:szCs w:val="20"/>
        </w:rPr>
        <w:t>三、项目考评依托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“</w:t>
      </w:r>
      <w:r>
        <w:rPr>
          <w:rFonts w:ascii="仿宋" w:hAnsi="仿宋" w:eastAsia="仿宋" w:cs="仿宋"/>
          <w:spacing w:val="-1"/>
          <w:sz w:val="20"/>
          <w:szCs w:val="20"/>
        </w:rPr>
        <w:t>湖南省工程项目动态监管平台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”</w:t>
      </w:r>
      <w:r>
        <w:rPr>
          <w:rFonts w:ascii="仿宋" w:hAnsi="仿宋" w:eastAsia="仿宋" w:cs="仿宋"/>
          <w:spacing w:val="-1"/>
          <w:sz w:val="20"/>
          <w:szCs w:val="20"/>
        </w:rPr>
        <w:t>实施。</w:t>
      </w:r>
    </w:p>
    <w:p>
      <w:pPr>
        <w:sectPr>
          <w:footerReference r:id="rId6" w:type="default"/>
          <w:pgSz w:w="16839" w:h="11906"/>
          <w:pgMar w:top="866" w:right="1130" w:bottom="1013" w:left="1136" w:header="0" w:footer="816" w:gutter="0"/>
          <w:cols w:space="720" w:num="1"/>
        </w:sectPr>
      </w:pPr>
    </w:p>
    <w:p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131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27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32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28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1E912889"/>
    <w:rsid w:val="1E9E6EEE"/>
    <w:rsid w:val="23C02C18"/>
    <w:rsid w:val="247368AC"/>
    <w:rsid w:val="3D3B7A71"/>
    <w:rsid w:val="6A152BF7"/>
    <w:rsid w:val="6D4763F8"/>
    <w:rsid w:val="6D751B92"/>
    <w:rsid w:val="76475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957</Words>
  <Characters>1013</Characters>
  <Lines>0</Lines>
  <Paragraphs>0</Paragraphs>
  <TotalTime>1</TotalTime>
  <ScaleCrop>false</ScaleCrop>
  <LinksUpToDate>false</LinksUpToDate>
  <CharactersWithSpaces>1147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3E368DBD65EA40B78B6BED5D95418097</vt:lpwstr>
  </property>
</Properties>
</file>